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452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outlineLvl w:val="0"/>
        <w:rPr>
          <w:rFonts w:hint="eastAsia" w:ascii="黑体" w:hAnsi="黑体" w:eastAsia="黑体" w:cs="黑体"/>
          <w:b w:val="0"/>
          <w:bCs w:val="0"/>
          <w:color w:val="auto"/>
          <w:kern w:val="2"/>
          <w:sz w:val="36"/>
          <w:szCs w:val="36"/>
          <w:highlight w:val="none"/>
          <w:lang w:val="en-US" w:eastAsia="zh-CN" w:bidi="ar-SA"/>
        </w:rPr>
      </w:pPr>
      <w:bookmarkStart w:id="3" w:name="_GoBack"/>
      <w:r>
        <w:rPr>
          <w:rFonts w:hint="eastAsia" w:ascii="黑体" w:hAnsi="黑体" w:eastAsia="黑体" w:cs="黑体"/>
          <w:b w:val="0"/>
          <w:bCs w:val="0"/>
          <w:color w:val="auto"/>
          <w:kern w:val="2"/>
          <w:sz w:val="36"/>
          <w:szCs w:val="36"/>
          <w:highlight w:val="none"/>
          <w:lang w:val="en-US" w:eastAsia="zh-CN" w:bidi="ar-SA"/>
        </w:rPr>
        <w:t>人工智能学院2026年硕士研究生调剂公告</w:t>
      </w:r>
    </w:p>
    <w:p w14:paraId="38A78AC8">
      <w:pPr>
        <w:widowControl/>
        <w:spacing w:line="360" w:lineRule="auto"/>
        <w:jc w:val="left"/>
        <w:rPr>
          <w:rFonts w:ascii="宋体" w:hAnsi="宋体" w:cs="宋体"/>
          <w:b/>
          <w:bCs/>
          <w:color w:val="auto"/>
          <w:kern w:val="0"/>
          <w:sz w:val="24"/>
          <w:highlight w:val="none"/>
        </w:rPr>
      </w:pPr>
    </w:p>
    <w:p w14:paraId="2C4C39A5">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学院简介</w:t>
      </w:r>
    </w:p>
    <w:p w14:paraId="5AE1A4D9">
      <w:pPr>
        <w:spacing w:line="460" w:lineRule="exact"/>
        <w:ind w:firstLine="548" w:firstLineChars="196"/>
        <w:rPr>
          <w:rFonts w:ascii="仿宋" w:hAnsi="仿宋" w:eastAsia="仿宋" w:cs="宋体"/>
          <w:b w:val="0"/>
          <w:color w:val="000000"/>
          <w:w w:val="100"/>
          <w:kern w:val="0"/>
          <w:sz w:val="28"/>
          <w:szCs w:val="28"/>
          <w:highlight w:val="none"/>
        </w:rPr>
      </w:pPr>
      <w:r>
        <w:rPr>
          <w:rFonts w:hint="eastAsia" w:ascii="仿宋" w:hAnsi="仿宋" w:eastAsia="仿宋" w:cs="宋体"/>
          <w:b w:val="0"/>
          <w:color w:val="000000"/>
          <w:w w:val="100"/>
          <w:kern w:val="0"/>
          <w:sz w:val="28"/>
          <w:szCs w:val="28"/>
          <w:highlight w:val="none"/>
        </w:rPr>
        <w:t>学院前身计算机科学系创建于</w:t>
      </w:r>
      <w:r>
        <w:rPr>
          <w:rFonts w:ascii="仿宋" w:hAnsi="仿宋" w:eastAsia="仿宋" w:cs="宋体"/>
          <w:b w:val="0"/>
          <w:color w:val="000000"/>
          <w:w w:val="100"/>
          <w:kern w:val="0"/>
          <w:sz w:val="28"/>
          <w:szCs w:val="28"/>
          <w:highlight w:val="none"/>
        </w:rPr>
        <w:t>1985</w:t>
      </w:r>
      <w:r>
        <w:rPr>
          <w:rFonts w:hint="eastAsia" w:ascii="仿宋" w:hAnsi="仿宋" w:eastAsia="仿宋" w:cs="宋体"/>
          <w:b w:val="0"/>
          <w:color w:val="000000"/>
          <w:w w:val="100"/>
          <w:kern w:val="0"/>
          <w:sz w:val="28"/>
          <w:szCs w:val="28"/>
          <w:highlight w:val="none"/>
        </w:rPr>
        <w:t>年，第一任系主任是原江西省政协副主席、江西省计算机学会理事长倪国熙教授。学院于1993年获批“计算机软件与理论”二级学科硕士点，是当时江西省第一个计算机学科硕士点，1998年获得“计算机应用技术”二级学科硕士点，2003年获得“计算机系统结构”二级学科硕士点，以此为基础于2006年获得“计算机科学与技术”一级学科硕士点，该一级学科是江西省重点学科；2011年学院又获批“软件工程”一级学科硕士点，2013年获批“物联网技术”二级学科硕士点；</w:t>
      </w:r>
      <w:r>
        <w:rPr>
          <w:rFonts w:hint="eastAsia" w:ascii="仿宋" w:hAnsi="仿宋" w:eastAsia="仿宋" w:cs="宋体"/>
          <w:bCs w:val="0"/>
          <w:color w:val="000000"/>
          <w:w w:val="100"/>
          <w:kern w:val="0"/>
          <w:sz w:val="28"/>
          <w:szCs w:val="28"/>
          <w:highlight w:val="none"/>
        </w:rPr>
        <w:t>2016年我院成为江西省“计算机科学与技术”学科联盟的牵头单位。</w:t>
      </w:r>
    </w:p>
    <w:p w14:paraId="4671F9B1">
      <w:pPr>
        <w:spacing w:line="460" w:lineRule="exact"/>
        <w:ind w:firstLine="548" w:firstLineChars="196"/>
        <w:rPr>
          <w:rFonts w:hint="eastAsia" w:ascii="仿宋" w:hAnsi="仿宋" w:eastAsia="仿宋" w:cs="宋体"/>
          <w:b w:val="0"/>
          <w:color w:val="000000"/>
          <w:w w:val="100"/>
          <w:kern w:val="0"/>
          <w:sz w:val="28"/>
          <w:szCs w:val="28"/>
          <w:highlight w:val="none"/>
        </w:rPr>
      </w:pPr>
      <w:r>
        <w:rPr>
          <w:rFonts w:hint="eastAsia" w:ascii="仿宋" w:hAnsi="仿宋" w:eastAsia="仿宋" w:cs="宋体"/>
          <w:b w:val="0"/>
          <w:color w:val="000000"/>
          <w:w w:val="100"/>
          <w:kern w:val="0"/>
          <w:sz w:val="28"/>
          <w:szCs w:val="28"/>
          <w:highlight w:val="none"/>
        </w:rPr>
        <w:t>在专业学位方面，我校于2005年获得工程硕士授予单位，是全国师范院校第一批获得工程硕士授予权的单位，我院率先在“软件工程”专业领域开始招收工程硕士，2010年学院又获得“计算机技术”领域工程硕士专业学位授予权，目前还拥有“现代教育技术”方向教育硕士授权点。</w:t>
      </w:r>
    </w:p>
    <w:p w14:paraId="08F5826C">
      <w:pPr>
        <w:spacing w:line="460" w:lineRule="exact"/>
        <w:ind w:firstLine="560" w:firstLineChars="200"/>
        <w:rPr>
          <w:rFonts w:hint="eastAsia" w:ascii="仿宋" w:hAnsi="仿宋" w:eastAsia="仿宋" w:cs="宋体"/>
          <w:b w:val="0"/>
          <w:color w:val="000000"/>
          <w:w w:val="100"/>
          <w:kern w:val="0"/>
          <w:sz w:val="28"/>
          <w:szCs w:val="28"/>
          <w:highlight w:val="none"/>
        </w:rPr>
      </w:pPr>
      <w:r>
        <w:rPr>
          <w:rFonts w:hint="eastAsia" w:ascii="仿宋" w:hAnsi="仿宋" w:eastAsia="仿宋" w:cs="宋体"/>
          <w:b w:val="0"/>
          <w:color w:val="000000"/>
          <w:w w:val="100"/>
          <w:kern w:val="0"/>
          <w:sz w:val="28"/>
          <w:szCs w:val="28"/>
          <w:highlight w:val="none"/>
        </w:rPr>
        <w:t>学院一贯重视师资队伍及研究生培养平台建设。现有教职工</w:t>
      </w:r>
      <w:r>
        <w:rPr>
          <w:rFonts w:ascii="仿宋" w:hAnsi="仿宋" w:eastAsia="仿宋" w:cs="宋体"/>
          <w:b w:val="0"/>
          <w:color w:val="000000"/>
          <w:w w:val="100"/>
          <w:kern w:val="0"/>
          <w:sz w:val="28"/>
          <w:szCs w:val="28"/>
          <w:highlight w:val="none"/>
        </w:rPr>
        <w:t>95</w:t>
      </w:r>
      <w:r>
        <w:rPr>
          <w:rFonts w:hint="eastAsia" w:ascii="仿宋" w:hAnsi="仿宋" w:eastAsia="仿宋" w:cs="宋体"/>
          <w:b w:val="0"/>
          <w:color w:val="000000"/>
          <w:w w:val="100"/>
          <w:kern w:val="0"/>
          <w:sz w:val="28"/>
          <w:szCs w:val="28"/>
          <w:highlight w:val="none"/>
        </w:rPr>
        <w:t>人，其中专任教师</w:t>
      </w:r>
      <w:r>
        <w:rPr>
          <w:rFonts w:ascii="仿宋" w:hAnsi="仿宋" w:eastAsia="仿宋" w:cs="宋体"/>
          <w:b w:val="0"/>
          <w:color w:val="000000"/>
          <w:w w:val="100"/>
          <w:kern w:val="0"/>
          <w:sz w:val="28"/>
          <w:szCs w:val="28"/>
          <w:highlight w:val="none"/>
        </w:rPr>
        <w:t>91</w:t>
      </w:r>
      <w:r>
        <w:rPr>
          <w:rFonts w:hint="eastAsia" w:ascii="仿宋" w:hAnsi="仿宋" w:eastAsia="仿宋" w:cs="宋体"/>
          <w:b w:val="0"/>
          <w:color w:val="000000"/>
          <w:w w:val="100"/>
          <w:kern w:val="0"/>
          <w:sz w:val="28"/>
          <w:szCs w:val="28"/>
          <w:highlight w:val="none"/>
        </w:rPr>
        <w:t>人，教授2</w:t>
      </w:r>
      <w:r>
        <w:rPr>
          <w:rFonts w:ascii="仿宋" w:hAnsi="仿宋" w:eastAsia="仿宋" w:cs="宋体"/>
          <w:b w:val="0"/>
          <w:color w:val="000000"/>
          <w:w w:val="100"/>
          <w:kern w:val="0"/>
          <w:sz w:val="28"/>
          <w:szCs w:val="28"/>
          <w:highlight w:val="none"/>
        </w:rPr>
        <w:t>0</w:t>
      </w:r>
      <w:r>
        <w:rPr>
          <w:rFonts w:hint="eastAsia" w:ascii="仿宋" w:hAnsi="仿宋" w:eastAsia="仿宋" w:cs="宋体"/>
          <w:b w:val="0"/>
          <w:color w:val="000000"/>
          <w:w w:val="100"/>
          <w:kern w:val="0"/>
          <w:sz w:val="28"/>
          <w:szCs w:val="28"/>
          <w:highlight w:val="none"/>
        </w:rPr>
        <w:t>名，副教授</w:t>
      </w:r>
      <w:r>
        <w:rPr>
          <w:rFonts w:ascii="仿宋" w:hAnsi="仿宋" w:eastAsia="仿宋" w:cs="宋体"/>
          <w:b w:val="0"/>
          <w:color w:val="000000"/>
          <w:w w:val="100"/>
          <w:kern w:val="0"/>
          <w:sz w:val="28"/>
          <w:szCs w:val="28"/>
          <w:highlight w:val="none"/>
        </w:rPr>
        <w:t>40</w:t>
      </w:r>
      <w:r>
        <w:rPr>
          <w:rFonts w:hint="eastAsia" w:ascii="仿宋" w:hAnsi="仿宋" w:eastAsia="仿宋" w:cs="宋体"/>
          <w:b w:val="0"/>
          <w:color w:val="000000"/>
          <w:w w:val="100"/>
          <w:kern w:val="0"/>
          <w:sz w:val="28"/>
          <w:szCs w:val="28"/>
          <w:highlight w:val="none"/>
        </w:rPr>
        <w:t>名，博士35人，博士生导师3人，硕士生导师40余名。目前已建有基于大数据的江西省教师质量监测、评估与服务协同创新中心、物联网与智能计算江西省高水平工程中心、江西省高性能计算技术重点实验室、江西省分布计算工程技术研究中心、江西省“计算机科学与技术”学科研究生创新基地及若干校级实验室和教授团队实验室，并与江西贝谷科技股份有限公司、科泰华软件有限公司、江苏联优信息技术有限公司、江西电信信息产业有限公司、南昌达内科技有限公司等建立了长期的研究生产学研合作基地。近五年来，获国家级课题40余项，省部级课题100余项，厅局级课题100余项；发表论文600多篇，其中核心期刊近 400篇；获得省部级奖励10余项。为了鼓励研究生科研创新和应用开发，江西省和我校均设立了研究生创新基金，近年来我院研究生获得江西省研究生创新基金项目资助10项，获校级研究生创新基金项目资助20余项。</w:t>
      </w:r>
    </w:p>
    <w:p w14:paraId="7C67FD6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color w:val="auto"/>
          <w:kern w:val="0"/>
          <w:sz w:val="28"/>
          <w:szCs w:val="28"/>
          <w:highlight w:val="none"/>
        </w:rPr>
      </w:pPr>
      <w:r>
        <w:rPr>
          <w:rFonts w:hint="eastAsia" w:ascii="仿宋" w:hAnsi="仿宋" w:eastAsia="仿宋" w:cs="宋体"/>
          <w:b w:val="0"/>
          <w:color w:val="000000"/>
          <w:w w:val="100"/>
          <w:kern w:val="0"/>
          <w:sz w:val="28"/>
          <w:szCs w:val="28"/>
          <w:highlight w:val="none"/>
        </w:rPr>
        <w:t>学院培养的硕士毕业生理论基础扎实，动手实践能力强，就业质量好，就业渠道宽，连续十年就业率位于学校前列，受到用人单位的一致好评。</w:t>
      </w:r>
    </w:p>
    <w:p w14:paraId="26B0306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二、接收调剂专业及名额</w:t>
      </w:r>
    </w:p>
    <w:tbl>
      <w:tblPr>
        <w:tblStyle w:val="4"/>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2457"/>
        <w:gridCol w:w="1543"/>
        <w:gridCol w:w="1476"/>
        <w:gridCol w:w="1757"/>
      </w:tblGrid>
      <w:tr w14:paraId="570B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noWrap w:val="0"/>
            <w:vAlign w:val="center"/>
          </w:tcPr>
          <w:p w14:paraId="3E4F255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专业代码</w:t>
            </w:r>
          </w:p>
        </w:tc>
        <w:tc>
          <w:tcPr>
            <w:tcW w:w="2457" w:type="dxa"/>
            <w:noWrap w:val="0"/>
            <w:vAlign w:val="center"/>
          </w:tcPr>
          <w:p w14:paraId="681B3E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专业名称</w:t>
            </w:r>
          </w:p>
        </w:tc>
        <w:tc>
          <w:tcPr>
            <w:tcW w:w="1543" w:type="dxa"/>
            <w:noWrap w:val="0"/>
            <w:vAlign w:val="top"/>
          </w:tcPr>
          <w:p w14:paraId="147F7A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学位类别</w:t>
            </w:r>
          </w:p>
        </w:tc>
        <w:tc>
          <w:tcPr>
            <w:tcW w:w="1476" w:type="dxa"/>
            <w:noWrap w:val="0"/>
            <w:vAlign w:val="center"/>
          </w:tcPr>
          <w:p w14:paraId="3E905E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学习形式</w:t>
            </w:r>
          </w:p>
        </w:tc>
        <w:tc>
          <w:tcPr>
            <w:tcW w:w="1757" w:type="dxa"/>
            <w:noWrap w:val="0"/>
            <w:vAlign w:val="center"/>
          </w:tcPr>
          <w:p w14:paraId="3261F2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拟调剂名额</w:t>
            </w:r>
          </w:p>
        </w:tc>
      </w:tr>
      <w:tr w14:paraId="64BA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noWrap w:val="0"/>
            <w:vAlign w:val="center"/>
          </w:tcPr>
          <w:p w14:paraId="4D08FF4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081200</w:t>
            </w:r>
          </w:p>
        </w:tc>
        <w:tc>
          <w:tcPr>
            <w:tcW w:w="2457" w:type="dxa"/>
            <w:noWrap w:val="0"/>
            <w:vAlign w:val="center"/>
          </w:tcPr>
          <w:p w14:paraId="47D96C3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lang w:val="en-US"/>
              </w:rPr>
            </w:pPr>
            <w:r>
              <w:rPr>
                <w:rFonts w:hint="eastAsia" w:ascii="仿宋" w:hAnsi="仿宋" w:eastAsia="仿宋" w:cs="宋体"/>
                <w:b w:val="0"/>
                <w:bCs w:val="0"/>
                <w:color w:val="auto"/>
                <w:w w:val="100"/>
                <w:kern w:val="0"/>
                <w:sz w:val="28"/>
                <w:szCs w:val="28"/>
                <w:highlight w:val="none"/>
                <w:lang w:val="en-US" w:eastAsia="zh-CN"/>
              </w:rPr>
              <w:t>计算机科学与技术</w:t>
            </w:r>
          </w:p>
        </w:tc>
        <w:tc>
          <w:tcPr>
            <w:tcW w:w="1543" w:type="dxa"/>
            <w:noWrap w:val="0"/>
            <w:vAlign w:val="top"/>
          </w:tcPr>
          <w:p w14:paraId="0B2C71C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学术学位</w:t>
            </w:r>
          </w:p>
        </w:tc>
        <w:tc>
          <w:tcPr>
            <w:tcW w:w="1476" w:type="dxa"/>
            <w:noWrap w:val="0"/>
            <w:vAlign w:val="center"/>
          </w:tcPr>
          <w:p w14:paraId="4A1487E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全日制</w:t>
            </w:r>
          </w:p>
        </w:tc>
        <w:tc>
          <w:tcPr>
            <w:tcW w:w="1757" w:type="dxa"/>
            <w:noWrap w:val="0"/>
            <w:vAlign w:val="center"/>
          </w:tcPr>
          <w:p w14:paraId="49C8AB9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w:t>
            </w:r>
          </w:p>
        </w:tc>
      </w:tr>
      <w:tr w14:paraId="5C46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noWrap w:val="0"/>
            <w:vAlign w:val="center"/>
          </w:tcPr>
          <w:p w14:paraId="1AB96D0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 w:hAnsi="仿宋" w:eastAsia="仿宋" w:cs="宋体"/>
                <w:b w:val="0"/>
                <w:bCs w:val="0"/>
                <w:color w:val="auto"/>
                <w:w w:val="100"/>
                <w:kern w:val="0"/>
                <w:sz w:val="28"/>
                <w:szCs w:val="28"/>
                <w:highlight w:val="none"/>
                <w:lang w:val="en-US" w:eastAsia="zh-CN"/>
              </w:rPr>
              <w:t>083500</w:t>
            </w:r>
          </w:p>
        </w:tc>
        <w:tc>
          <w:tcPr>
            <w:tcW w:w="2457" w:type="dxa"/>
            <w:noWrap w:val="0"/>
            <w:vAlign w:val="center"/>
          </w:tcPr>
          <w:p w14:paraId="5BB5ED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rPr>
            </w:pPr>
            <w:r>
              <w:rPr>
                <w:rFonts w:hint="eastAsia" w:ascii="仿宋" w:hAnsi="仿宋" w:eastAsia="仿宋" w:cs="宋体"/>
                <w:b w:val="0"/>
                <w:bCs w:val="0"/>
                <w:color w:val="auto"/>
                <w:w w:val="100"/>
                <w:kern w:val="0"/>
                <w:sz w:val="28"/>
                <w:szCs w:val="28"/>
                <w:highlight w:val="none"/>
                <w:lang w:val="en-US" w:eastAsia="zh-CN"/>
              </w:rPr>
              <w:t>软件工程</w:t>
            </w:r>
          </w:p>
        </w:tc>
        <w:tc>
          <w:tcPr>
            <w:tcW w:w="1543" w:type="dxa"/>
            <w:noWrap w:val="0"/>
            <w:vAlign w:val="top"/>
          </w:tcPr>
          <w:p w14:paraId="6FE445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学术学位</w:t>
            </w:r>
          </w:p>
        </w:tc>
        <w:tc>
          <w:tcPr>
            <w:tcW w:w="1476" w:type="dxa"/>
            <w:shd w:val="clear" w:color="auto" w:fill="auto"/>
            <w:noWrap w:val="0"/>
            <w:vAlign w:val="center"/>
          </w:tcPr>
          <w:p w14:paraId="64CD43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eastAsia="zh-CN"/>
              </w:rPr>
              <w:t>全日制</w:t>
            </w:r>
          </w:p>
        </w:tc>
        <w:tc>
          <w:tcPr>
            <w:tcW w:w="1757" w:type="dxa"/>
            <w:noWrap w:val="0"/>
            <w:vAlign w:val="center"/>
          </w:tcPr>
          <w:p w14:paraId="6B01378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w:t>
            </w:r>
          </w:p>
        </w:tc>
      </w:tr>
    </w:tbl>
    <w:p w14:paraId="4B2F2A1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三、调剂条件</w:t>
      </w:r>
    </w:p>
    <w:p w14:paraId="0B157582">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（1）符合调入专业的报考条件。详情请见我校招生简章公布的报考条件。</w:t>
      </w:r>
    </w:p>
    <w:p w14:paraId="2DBAF433">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（2）考生初试成绩需达到国家A类地区初试成绩基本要求。</w:t>
      </w:r>
    </w:p>
    <w:p w14:paraId="7526C1BB">
      <w:pPr>
        <w:keepNext w:val="0"/>
        <w:keepLines w:val="0"/>
        <w:pageBreakBefore w:val="0"/>
        <w:widowControl/>
        <w:kinsoku/>
        <w:wordWrap/>
        <w:overflowPunct/>
        <w:topLinePunct w:val="0"/>
        <w:autoSpaceDE/>
        <w:autoSpaceDN/>
        <w:bidi w:val="0"/>
        <w:adjustRightInd/>
        <w:snapToGrid/>
        <w:spacing w:line="50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w:t>
      </w:r>
      <w:r>
        <w:rPr>
          <w:rFonts w:hint="eastAsia" w:ascii="仿宋" w:hAnsi="仿宋" w:eastAsia="仿宋" w:cs="宋体"/>
          <w:b w:val="0"/>
          <w:bCs w:val="0"/>
          <w:color w:val="auto"/>
          <w:w w:val="100"/>
          <w:kern w:val="0"/>
          <w:sz w:val="28"/>
          <w:szCs w:val="28"/>
          <w:highlight w:val="none"/>
        </w:rPr>
        <w:t>调剂仅接收第一志愿报考专业为计算机科学与技术专业（</w:t>
      </w:r>
      <w:r>
        <w:rPr>
          <w:rFonts w:hint="eastAsia" w:ascii="仿宋" w:hAnsi="仿宋" w:eastAsia="仿宋" w:cs="宋体"/>
          <w:b w:val="0"/>
          <w:bCs w:val="0"/>
          <w:color w:val="auto"/>
          <w:w w:val="100"/>
          <w:kern w:val="0"/>
          <w:sz w:val="28"/>
          <w:szCs w:val="28"/>
          <w:highlight w:val="none"/>
          <w:lang w:val="en-US" w:eastAsia="zh-CN"/>
        </w:rPr>
        <w:t>081200</w:t>
      </w:r>
      <w:r>
        <w:rPr>
          <w:rFonts w:hint="eastAsia" w:ascii="仿宋" w:hAnsi="仿宋" w:eastAsia="仿宋" w:cs="宋体"/>
          <w:b w:val="0"/>
          <w:bCs w:val="0"/>
          <w:color w:val="auto"/>
          <w:w w:val="100"/>
          <w:kern w:val="0"/>
          <w:sz w:val="28"/>
          <w:szCs w:val="28"/>
          <w:highlight w:val="none"/>
        </w:rPr>
        <w:t>）</w:t>
      </w:r>
      <w:r>
        <w:rPr>
          <w:rFonts w:hint="eastAsia" w:ascii="仿宋" w:hAnsi="仿宋" w:eastAsia="仿宋" w:cs="宋体"/>
          <w:b w:val="0"/>
          <w:bCs w:val="0"/>
          <w:color w:val="auto"/>
          <w:w w:val="100"/>
          <w:kern w:val="0"/>
          <w:sz w:val="28"/>
          <w:szCs w:val="28"/>
          <w:highlight w:val="none"/>
          <w:lang w:eastAsia="zh-CN"/>
        </w:rPr>
        <w:t>和</w:t>
      </w:r>
      <w:r>
        <w:rPr>
          <w:rFonts w:hint="eastAsia" w:ascii="仿宋" w:hAnsi="仿宋" w:eastAsia="仿宋" w:cs="宋体"/>
          <w:b w:val="0"/>
          <w:bCs w:val="0"/>
          <w:color w:val="auto"/>
          <w:w w:val="100"/>
          <w:kern w:val="0"/>
          <w:sz w:val="28"/>
          <w:szCs w:val="28"/>
          <w:highlight w:val="none"/>
        </w:rPr>
        <w:t>软件工程专业（</w:t>
      </w:r>
      <w:r>
        <w:rPr>
          <w:rFonts w:hint="eastAsia" w:ascii="仿宋" w:hAnsi="仿宋" w:eastAsia="仿宋" w:cs="宋体"/>
          <w:b w:val="0"/>
          <w:bCs w:val="0"/>
          <w:color w:val="auto"/>
          <w:w w:val="100"/>
          <w:kern w:val="0"/>
          <w:sz w:val="28"/>
          <w:szCs w:val="28"/>
          <w:highlight w:val="none"/>
          <w:lang w:val="en-US" w:eastAsia="zh-CN"/>
        </w:rPr>
        <w:t>083500</w:t>
      </w:r>
      <w:r>
        <w:rPr>
          <w:rFonts w:hint="eastAsia" w:ascii="仿宋" w:hAnsi="仿宋" w:eastAsia="仿宋" w:cs="宋体"/>
          <w:b w:val="0"/>
          <w:bCs w:val="0"/>
          <w:color w:val="auto"/>
          <w:w w:val="100"/>
          <w:kern w:val="0"/>
          <w:sz w:val="28"/>
          <w:szCs w:val="28"/>
          <w:highlight w:val="none"/>
        </w:rPr>
        <w:t>）考生</w:t>
      </w:r>
      <w:r>
        <w:rPr>
          <w:rFonts w:hint="eastAsia" w:ascii="仿宋" w:hAnsi="仿宋" w:eastAsia="仿宋" w:cs="宋体"/>
          <w:b w:val="0"/>
          <w:bCs w:val="0"/>
          <w:color w:val="auto"/>
          <w:w w:val="100"/>
          <w:kern w:val="0"/>
          <w:sz w:val="28"/>
          <w:szCs w:val="28"/>
          <w:highlight w:val="none"/>
          <w:lang w:eastAsia="zh-CN"/>
        </w:rPr>
        <w:t>、且</w:t>
      </w:r>
      <w:r>
        <w:rPr>
          <w:rFonts w:hint="eastAsia" w:ascii="仿宋" w:hAnsi="仿宋" w:eastAsia="仿宋" w:cs="宋体"/>
          <w:b w:val="0"/>
          <w:bCs w:val="0"/>
          <w:color w:val="auto"/>
          <w:w w:val="100"/>
          <w:kern w:val="0"/>
          <w:sz w:val="28"/>
          <w:szCs w:val="28"/>
          <w:highlight w:val="none"/>
        </w:rPr>
        <w:t>第二门专业课为全国统考科目（408 计算机学科专业基础 ）</w:t>
      </w:r>
    </w:p>
    <w:p w14:paraId="78F0881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四、调剂流程</w:t>
      </w:r>
    </w:p>
    <w:p w14:paraId="50A9F6FF">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(一)学院发布调剂公告。在学校及学院网站公布调剂专业、调剂名额、调剂条件、调剂程序及联系方式等，并在教育部调剂系统设置调剂专业、名额及条件。</w:t>
      </w:r>
    </w:p>
    <w:p w14:paraId="263541CF">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(二)调剂系统开通后，考生填写调剂信息。符合调剂条件的考生在中国研究生招生信息网调剂系统（http://yz.chsi.com.cn/yztj/）中按要求填写调</w:t>
      </w:r>
      <w:r>
        <w:rPr>
          <w:rFonts w:hint="eastAsia" w:ascii="仿宋_GB2312" w:hAnsi="仿宋_GB2312" w:eastAsia="仿宋_GB2312" w:cs="仿宋_GB2312"/>
          <w:color w:val="auto"/>
          <w:sz w:val="28"/>
          <w:szCs w:val="28"/>
          <w:highlight w:val="none"/>
          <w:shd w:val="clear" w:color="auto" w:fill="FFFFFF"/>
          <w:lang w:bidi="ar"/>
        </w:rPr>
        <w:t>剂</w:t>
      </w:r>
      <w:r>
        <w:rPr>
          <w:rFonts w:hint="eastAsia" w:ascii="仿宋_GB2312" w:hAnsi="仿宋_GB2312" w:eastAsia="仿宋_GB2312" w:cs="仿宋_GB2312"/>
          <w:color w:val="auto"/>
          <w:sz w:val="28"/>
          <w:szCs w:val="28"/>
          <w:highlight w:val="none"/>
        </w:rPr>
        <w:t>志愿。调剂系统开放时间为</w:t>
      </w:r>
      <w:r>
        <w:rPr>
          <w:rFonts w:hint="eastAsia" w:ascii="仿宋_GB2312" w:hAnsi="仿宋_GB2312" w:eastAsia="仿宋_GB2312" w:cs="仿宋_GB2312"/>
          <w:color w:val="auto"/>
          <w:sz w:val="28"/>
          <w:szCs w:val="28"/>
          <w:highlight w:val="none"/>
        </w:rPr>
        <w:t>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年4月8日</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0:00-4月8日</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:00，</w:t>
      </w:r>
      <w:r>
        <w:rPr>
          <w:rFonts w:hint="eastAsia" w:ascii="仿宋_GB2312" w:hAnsi="仿宋_GB2312" w:eastAsia="仿宋_GB2312" w:cs="仿宋_GB2312"/>
          <w:color w:val="auto"/>
          <w:sz w:val="28"/>
          <w:szCs w:val="28"/>
          <w:highlight w:val="none"/>
        </w:rPr>
        <w:t>考生须通过登录该系统填报调剂志愿进行调剂，否则调剂无效。</w:t>
      </w:r>
    </w:p>
    <w:p w14:paraId="0F8D75D6">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(三)学院审核调剂。按调剂条件挑选考生并确认考生调剂意愿，将同意调剂的合格考生添加到复试备选库。</w:t>
      </w:r>
    </w:p>
    <w:p w14:paraId="545B4EA0">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(四)发送复试通知。4月</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:00点起，根据各专业缺额情况择优陆续发送复试通知，接到复试通知的调剂生务必在复试通知规定的时间内网上回复确认。</w:t>
      </w:r>
    </w:p>
    <w:p w14:paraId="33E7B262">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w:t>
      </w:r>
      <w:r>
        <w:rPr>
          <w:rFonts w:hint="eastAsia" w:ascii="仿宋_GB2312" w:hAnsi="仿宋_GB2312" w:eastAsia="仿宋_GB2312" w:cs="仿宋_GB2312"/>
          <w:color w:val="auto"/>
          <w:spacing w:val="-6"/>
          <w:sz w:val="28"/>
          <w:szCs w:val="28"/>
          <w:highlight w:val="none"/>
        </w:rPr>
        <w:t>考生复试。考生按调剂复试通知要求进行复试，</w:t>
      </w:r>
      <w:r>
        <w:rPr>
          <w:rFonts w:hint="eastAsia" w:ascii="仿宋_GB2312" w:hAnsi="仿宋_GB2312" w:eastAsia="仿宋_GB2312" w:cs="仿宋_GB2312"/>
          <w:color w:val="auto"/>
          <w:spacing w:val="-6"/>
          <w:sz w:val="28"/>
          <w:szCs w:val="28"/>
          <w:highlight w:val="none"/>
          <w:lang w:eastAsia="zh-CN"/>
        </w:rPr>
        <w:t>具体以电话通知为准</w:t>
      </w:r>
      <w:r>
        <w:rPr>
          <w:rFonts w:hint="eastAsia" w:ascii="仿宋_GB2312" w:hAnsi="仿宋_GB2312" w:eastAsia="仿宋_GB2312" w:cs="仿宋_GB2312"/>
          <w:color w:val="auto"/>
          <w:spacing w:val="-6"/>
          <w:sz w:val="28"/>
          <w:szCs w:val="28"/>
          <w:highlight w:val="none"/>
        </w:rPr>
        <w:t>。</w:t>
      </w:r>
    </w:p>
    <w:p w14:paraId="4C4EC26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五、调剂复试内容及考核要求</w:t>
      </w:r>
    </w:p>
    <w:p w14:paraId="0BF324A8">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 复试方式：线下复试（现场复试）。</w:t>
      </w:r>
    </w:p>
    <w:p w14:paraId="27D0118C">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 复试内容</w:t>
      </w:r>
    </w:p>
    <w:p w14:paraId="0CF2F32A">
      <w:pPr>
        <w:pStyle w:val="3"/>
        <w:widowControl w:val="0"/>
        <w:spacing w:before="0" w:beforeAutospacing="0" w:after="0" w:afterAutospacing="0"/>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1.外</w:t>
      </w:r>
      <w:r>
        <w:rPr>
          <w:rFonts w:hint="eastAsia" w:ascii="仿宋" w:hAnsi="仿宋" w:eastAsia="仿宋"/>
          <w:sz w:val="28"/>
          <w:szCs w:val="28"/>
          <w:highlight w:val="none"/>
          <w:lang w:val="en-US" w:eastAsia="zh-CN"/>
        </w:rPr>
        <w:t>国</w:t>
      </w:r>
      <w:r>
        <w:rPr>
          <w:rFonts w:hint="eastAsia" w:ascii="仿宋" w:hAnsi="仿宋" w:eastAsia="仿宋"/>
          <w:sz w:val="28"/>
          <w:szCs w:val="28"/>
          <w:highlight w:val="none"/>
        </w:rPr>
        <w:t>语听力及口语测试</w:t>
      </w:r>
    </w:p>
    <w:p w14:paraId="7CDFB969">
      <w:pPr>
        <w:pStyle w:val="3"/>
        <w:widowControl w:val="0"/>
        <w:spacing w:before="0" w:beforeAutospacing="0" w:after="0" w:afterAutospacing="0"/>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外</w:t>
      </w:r>
      <w:r>
        <w:rPr>
          <w:rFonts w:hint="eastAsia" w:ascii="仿宋" w:hAnsi="仿宋" w:eastAsia="仿宋"/>
          <w:sz w:val="28"/>
          <w:szCs w:val="28"/>
          <w:highlight w:val="none"/>
          <w:lang w:val="en-US" w:eastAsia="zh-CN"/>
        </w:rPr>
        <w:t>国</w:t>
      </w:r>
      <w:r>
        <w:rPr>
          <w:rFonts w:hint="eastAsia" w:ascii="仿宋" w:hAnsi="仿宋" w:eastAsia="仿宋"/>
          <w:sz w:val="28"/>
          <w:szCs w:val="28"/>
          <w:highlight w:val="none"/>
        </w:rPr>
        <w:t>语听力及口语测试，分值为30分，该项成绩计入复试总成绩。</w:t>
      </w:r>
    </w:p>
    <w:p w14:paraId="129A92C3">
      <w:pPr>
        <w:pStyle w:val="3"/>
        <w:widowControl w:val="0"/>
        <w:spacing w:before="0" w:beforeAutospacing="0" w:after="0" w:afterAutospacing="0"/>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外</w:t>
      </w:r>
      <w:r>
        <w:rPr>
          <w:rFonts w:hint="eastAsia" w:ascii="仿宋" w:hAnsi="仿宋" w:eastAsia="仿宋"/>
          <w:sz w:val="28"/>
          <w:szCs w:val="28"/>
          <w:highlight w:val="none"/>
          <w:lang w:val="en-US" w:eastAsia="zh-CN"/>
        </w:rPr>
        <w:t>国</w:t>
      </w:r>
      <w:r>
        <w:rPr>
          <w:rFonts w:hint="eastAsia" w:ascii="仿宋" w:hAnsi="仿宋" w:eastAsia="仿宋"/>
          <w:sz w:val="28"/>
          <w:szCs w:val="28"/>
          <w:highlight w:val="none"/>
        </w:rPr>
        <w:t>语听力及口语测试主要测试考生的听力理解能力和运用英语知识与技能进行口头交际的能力。形式现场抽题、考生朗读并回答问题，英文对话等。</w:t>
      </w:r>
    </w:p>
    <w:p w14:paraId="7F70566D">
      <w:pPr>
        <w:pStyle w:val="3"/>
        <w:widowControl w:val="0"/>
        <w:spacing w:before="0" w:beforeAutospacing="0" w:after="0" w:afterAutospacing="0"/>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2.专业测试</w:t>
      </w:r>
    </w:p>
    <w:p w14:paraId="13B09B72">
      <w:pPr>
        <w:pStyle w:val="3"/>
        <w:widowControl w:val="0"/>
        <w:spacing w:before="0" w:beforeAutospacing="0" w:after="0" w:afterAutospacing="0"/>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分值为120分，该项成绩计入复试总成绩。</w:t>
      </w:r>
    </w:p>
    <w:p w14:paraId="79482406">
      <w:pPr>
        <w:pStyle w:val="3"/>
        <w:widowControl w:val="0"/>
        <w:spacing w:before="0" w:beforeAutospacing="0" w:after="0" w:afterAutospacing="0"/>
        <w:ind w:firstLine="560" w:firstLineChars="200"/>
        <w:jc w:val="both"/>
        <w:rPr>
          <w:rFonts w:hint="eastAsia" w:ascii="仿宋" w:hAnsi="仿宋" w:eastAsia="仿宋"/>
          <w:sz w:val="28"/>
          <w:szCs w:val="28"/>
          <w:highlight w:val="none"/>
        </w:rPr>
      </w:pPr>
      <w:r>
        <w:rPr>
          <w:rFonts w:hint="eastAsia" w:ascii="仿宋" w:hAnsi="仿宋" w:eastAsia="仿宋"/>
          <w:sz w:val="28"/>
          <w:szCs w:val="28"/>
          <w:highlight w:val="none"/>
        </w:rPr>
        <w:t>专业测试着重考核考生对专业基础理论、基本知识掌握的深度和广度。考试时间为2小时，考试形式为笔试（闭卷）。</w:t>
      </w:r>
    </w:p>
    <w:p w14:paraId="5F9B028C">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3.综合素质</w:t>
      </w:r>
      <w:r>
        <w:rPr>
          <w:rFonts w:hint="eastAsia" w:ascii="仿宋" w:hAnsi="仿宋" w:eastAsia="仿宋"/>
          <w:sz w:val="28"/>
          <w:szCs w:val="28"/>
          <w:highlight w:val="none"/>
          <w:lang w:val="en-US" w:eastAsia="zh-CN"/>
        </w:rPr>
        <w:t>考核</w:t>
      </w:r>
    </w:p>
    <w:p w14:paraId="58BDA52D">
      <w:pPr>
        <w:ind w:firstLine="700" w:firstLineChars="250"/>
        <w:rPr>
          <w:rFonts w:hint="eastAsia" w:ascii="仿宋" w:hAnsi="仿宋" w:eastAsia="仿宋" w:cs="宋体"/>
          <w:kern w:val="0"/>
          <w:sz w:val="28"/>
          <w:szCs w:val="28"/>
          <w:highlight w:val="none"/>
        </w:rPr>
      </w:pPr>
      <w:r>
        <w:rPr>
          <w:rFonts w:hint="eastAsia" w:ascii="仿宋" w:hAnsi="仿宋" w:eastAsia="仿宋"/>
          <w:sz w:val="28"/>
          <w:szCs w:val="28"/>
          <w:highlight w:val="none"/>
        </w:rPr>
        <w:t>综合素质</w:t>
      </w:r>
      <w:r>
        <w:rPr>
          <w:rFonts w:hint="eastAsia" w:ascii="仿宋" w:hAnsi="仿宋" w:eastAsia="仿宋"/>
          <w:sz w:val="28"/>
          <w:szCs w:val="28"/>
          <w:highlight w:val="none"/>
          <w:lang w:val="en-US" w:eastAsia="zh-CN"/>
        </w:rPr>
        <w:t>考核</w:t>
      </w:r>
      <w:r>
        <w:rPr>
          <w:rFonts w:hint="eastAsia" w:ascii="仿宋" w:hAnsi="仿宋" w:eastAsia="仿宋"/>
          <w:sz w:val="28"/>
          <w:szCs w:val="28"/>
          <w:highlight w:val="none"/>
        </w:rPr>
        <w:t>，分值为100分，该项成绩计入复试总成绩。</w:t>
      </w:r>
    </w:p>
    <w:p w14:paraId="26FF9FD7">
      <w:pPr>
        <w:ind w:firstLine="700" w:firstLineChars="250"/>
        <w:rPr>
          <w:rFonts w:hint="eastAsia" w:ascii="黑体" w:hAnsi="黑体" w:eastAsia="黑体" w:cs="黑体"/>
          <w:b w:val="0"/>
          <w:bCs w:val="0"/>
          <w:color w:val="auto"/>
          <w:kern w:val="0"/>
          <w:sz w:val="28"/>
          <w:szCs w:val="28"/>
          <w:highlight w:val="none"/>
        </w:rPr>
      </w:pPr>
      <w:r>
        <w:rPr>
          <w:rFonts w:hint="eastAsia" w:ascii="仿宋" w:hAnsi="仿宋" w:eastAsia="仿宋" w:cs="宋体"/>
          <w:kern w:val="0"/>
          <w:sz w:val="28"/>
          <w:szCs w:val="28"/>
          <w:highlight w:val="none"/>
          <w:lang w:val="en-US" w:eastAsia="zh-CN" w:bidi="ar-SA"/>
        </w:rPr>
        <w:t>综合素质考核主要考核考生的专业基础知识、实践（实验）能力、创新意识与能力、心理健康状况及综合素质等，专业学位研究生综合素质考核将加入实践技能考核。每位考生面试时间一般不少于20分钟，考生明确表示已作答完毕的可提前结束考核。</w:t>
      </w:r>
    </w:p>
    <w:p w14:paraId="3918823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六、复试日程安排</w:t>
      </w:r>
    </w:p>
    <w:p w14:paraId="0EB786D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黑体" w:hAnsi="黑体" w:eastAsia="黑体" w:cs="黑体"/>
          <w:b w:val="0"/>
          <w:bCs w:val="0"/>
          <w:color w:val="auto"/>
          <w:kern w:val="0"/>
          <w:sz w:val="28"/>
          <w:szCs w:val="28"/>
          <w:highlight w:val="none"/>
          <w:lang w:val="en-US" w:eastAsia="zh-CN"/>
        </w:rPr>
      </w:pPr>
      <w:r>
        <w:rPr>
          <w:rFonts w:hint="eastAsia" w:ascii="黑体" w:hAnsi="黑体" w:eastAsia="黑体" w:cs="黑体"/>
          <w:b w:val="0"/>
          <w:bCs w:val="0"/>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lang w:val="en-US" w:eastAsia="zh-CN"/>
        </w:rPr>
        <w:t>以电话通知为准</w:t>
      </w:r>
      <w:r>
        <w:rPr>
          <w:rFonts w:hint="eastAsia" w:ascii="黑体" w:hAnsi="黑体" w:eastAsia="黑体" w:cs="黑体"/>
          <w:b w:val="0"/>
          <w:bCs w:val="0"/>
          <w:color w:val="auto"/>
          <w:kern w:val="0"/>
          <w:sz w:val="28"/>
          <w:szCs w:val="28"/>
          <w:highlight w:val="none"/>
          <w:lang w:val="en-US" w:eastAsia="zh-CN"/>
        </w:rPr>
        <w:t>。</w:t>
      </w:r>
    </w:p>
    <w:p w14:paraId="1F8EBA2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七、资格审查时需提供的证件及证明材料：</w:t>
      </w:r>
    </w:p>
    <w:p w14:paraId="12B0AF4F">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（1）初试准考证（中国研招网可下载）；</w:t>
      </w:r>
    </w:p>
    <w:p w14:paraId="1AEBEE49">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（2）报考时所使用的身份证原件及复印件（原件查验，复印件留存）；</w:t>
      </w:r>
    </w:p>
    <w:p w14:paraId="3F682736">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应届毕业生学生证原件及复印件（原件查验，复印件留存），有效期内的学籍在线验证报告；复试时尚未取得本科毕业证书的自考和网络教育考生，须凭颁发毕业证书的省级高等教育自学考试办公室或网络教育高校出具的相关证明方可参加复试；同等学力考生需提供专科毕业证或本科结业证或成人高校应届本科生证明原件及复印件（原件查验，复印件留存），有效期内的学历证书电子注册备案表；</w:t>
      </w:r>
    </w:p>
    <w:p w14:paraId="288A1462">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往届考生毕业（结业）证书原件及复印件（原件查验，复印件留存）、有效期内的学历证书电子注册备案表（或中国高等教育学历认证报告、教育部留学中心《国（境）外学历学位认证书》）；如获得相应学位，需提供学位证书原件及复印件（原件查验，复印件留存）、有效期内的中国高等教育学位在线验证报告。</w:t>
      </w:r>
    </w:p>
    <w:p w14:paraId="3C8F95C9">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（5）《江西师范大学2025年研究生招生思想政治品德考核表》原件（需审查盖章）；</w:t>
      </w:r>
    </w:p>
    <w:p w14:paraId="5F4AF214">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（6）报考“少数民族高层次骨干人才”专项计划的考生应提交《少数民族高层次骨干人才计划考生登记表》原件;</w:t>
      </w:r>
    </w:p>
    <w:p w14:paraId="7B0A9CCE">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资格审查不符合要求者，取消复试资格。参加复试考生均需签订《诚信承诺书》；对有弄虚作假者一经发现随时取消复试或录取资格。</w:t>
      </w:r>
    </w:p>
    <w:p w14:paraId="762B6A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八、体检</w:t>
      </w:r>
    </w:p>
    <w:p w14:paraId="076C9A28">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参照教育部、卫生部、中国残联印发的《普通高等学校招生体检工作指导意见》(教学〔2003〕3号)要求，按照《教育部办公厅卫生部办公厅关于普通高等学校招生学生入学身体检查取消乙肝项目检测有关问题的通知》(教学厅〔2010〕2号)规定，拟录取考生在拟录取后提交二甲以上医院的体检证明，入学时须参加学校统一组织的新生入学体检。</w:t>
      </w:r>
    </w:p>
    <w:p w14:paraId="73515A8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九、总成绩计算</w:t>
      </w:r>
    </w:p>
    <w:p w14:paraId="2C486246">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总成绩=初试成绩+复试成绩</w:t>
      </w:r>
    </w:p>
    <w:p w14:paraId="02D1C42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十录取基本原则</w:t>
      </w:r>
    </w:p>
    <w:p w14:paraId="492149F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0"/>
        <w:rPr>
          <w:rFonts w:hint="eastAsia" w:ascii="仿宋_GB2312" w:hAnsi="仿宋_GB2312" w:eastAsia="仿宋_GB2312" w:cs="仿宋_GB2312"/>
          <w:color w:val="auto"/>
          <w:sz w:val="28"/>
          <w:szCs w:val="28"/>
          <w:highlight w:val="none"/>
        </w:rPr>
      </w:pPr>
      <w:bookmarkStart w:id="0" w:name="_Toc4075"/>
      <w:r>
        <w:rPr>
          <w:rFonts w:hint="eastAsia" w:ascii="仿宋_GB2312" w:hAnsi="仿宋_GB2312" w:eastAsia="仿宋_GB2312" w:cs="仿宋_GB2312"/>
          <w:color w:val="auto"/>
          <w:sz w:val="28"/>
          <w:szCs w:val="28"/>
          <w:highlight w:val="none"/>
        </w:rPr>
        <w:t>1.未经复试的考生一律不得录取；</w:t>
      </w:r>
      <w:bookmarkEnd w:id="0"/>
    </w:p>
    <w:p w14:paraId="68D4C88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2.复试期间若发现考生提供虚假信息、不符合报考条件、考试违纪舞弊、身体及思想政治道德状况不符合录取要求的，一律不予录取；</w:t>
      </w:r>
    </w:p>
    <w:p w14:paraId="1E68DFE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0"/>
        <w:rPr>
          <w:rFonts w:hint="eastAsia" w:ascii="仿宋_GB2312" w:hAnsi="仿宋_GB2312" w:eastAsia="仿宋_GB2312" w:cs="仿宋_GB2312"/>
          <w:color w:val="auto"/>
          <w:sz w:val="28"/>
          <w:szCs w:val="28"/>
          <w:highlight w:val="none"/>
        </w:rPr>
      </w:pPr>
      <w:bookmarkStart w:id="1" w:name="_Toc5974"/>
      <w:r>
        <w:rPr>
          <w:rFonts w:hint="eastAsia" w:ascii="仿宋_GB2312" w:hAnsi="仿宋_GB2312" w:eastAsia="仿宋_GB2312" w:cs="仿宋_GB2312"/>
          <w:color w:val="auto"/>
          <w:sz w:val="28"/>
          <w:szCs w:val="28"/>
          <w:highlight w:val="none"/>
        </w:rPr>
        <w:t>3.复试总成绩150为合格。</w:t>
      </w:r>
      <w:bookmarkEnd w:id="1"/>
    </w:p>
    <w:p w14:paraId="79569D0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4.复试总成绩与初试总成绩相加为考生总成绩。录取时按照考生总成绩排序，依次录取。总成绩相同依次比较初试总成绩、初始专业课成绩、复试综合测试成绩。</w:t>
      </w:r>
    </w:p>
    <w:p w14:paraId="0AEC44A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5.调剂考生须在复试结果公布后按研招办要求及时办理有关调剂录取手续，否则将取消拟录取资格。</w:t>
      </w:r>
    </w:p>
    <w:p w14:paraId="7391BA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0"/>
        <w:rPr>
          <w:rFonts w:hint="eastAsia" w:ascii="仿宋_GB2312" w:hAnsi="仿宋_GB2312" w:eastAsia="仿宋_GB2312" w:cs="仿宋_GB2312"/>
          <w:color w:val="auto"/>
          <w:sz w:val="28"/>
          <w:szCs w:val="28"/>
          <w:highlight w:val="none"/>
        </w:rPr>
      </w:pPr>
      <w:bookmarkStart w:id="2" w:name="_Toc29452"/>
      <w:r>
        <w:rPr>
          <w:rFonts w:hint="eastAsia" w:ascii="仿宋_GB2312" w:hAnsi="仿宋_GB2312" w:eastAsia="仿宋_GB2312" w:cs="仿宋_GB2312"/>
          <w:color w:val="auto"/>
          <w:sz w:val="28"/>
          <w:szCs w:val="28"/>
          <w:highlight w:val="none"/>
        </w:rPr>
        <w:t>6.一志愿考生、调剂生分别单独排名录取。</w:t>
      </w:r>
      <w:bookmarkEnd w:id="2"/>
    </w:p>
    <w:p w14:paraId="0FD328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7.“少数民族高层次骨干人才计划”、“退役大学生士兵专项硕士研究生招生计划”考生分别单独排名。</w:t>
      </w:r>
    </w:p>
    <w:p w14:paraId="76ED15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8"/>
          <w:szCs w:val="28"/>
          <w:highlight w:val="none"/>
        </w:rPr>
        <w:t>十一、咨询及申诉联系方式</w:t>
      </w:r>
    </w:p>
    <w:p w14:paraId="75206875">
      <w:pPr>
        <w:keepNext w:val="0"/>
        <w:keepLines w:val="0"/>
        <w:pageBreakBefore w:val="0"/>
        <w:widowControl/>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学院联系方式：0791-</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8</w:t>
      </w:r>
      <w:r>
        <w:rPr>
          <w:rFonts w:hint="eastAsia" w:ascii="仿宋_GB2312" w:hAnsi="仿宋_GB2312" w:eastAsia="仿宋_GB2312" w:cs="仿宋_GB2312"/>
          <w:color w:val="auto"/>
          <w:kern w:val="0"/>
          <w:sz w:val="28"/>
          <w:szCs w:val="28"/>
          <w:highlight w:val="none"/>
          <w:lang w:eastAsia="zh-CN"/>
        </w:rPr>
        <w:t>120860</w:t>
      </w:r>
    </w:p>
    <w:p w14:paraId="604429B1">
      <w:pPr>
        <w:keepNext w:val="0"/>
        <w:keepLines w:val="0"/>
        <w:pageBreakBefore w:val="0"/>
        <w:widowControl/>
        <w:kinsoku/>
        <w:wordWrap/>
        <w:overflowPunct/>
        <w:topLinePunct w:val="0"/>
        <w:autoSpaceDE/>
        <w:autoSpaceDN/>
        <w:bidi w:val="0"/>
        <w:adjustRightInd/>
        <w:snapToGrid/>
        <w:spacing w:line="520" w:lineRule="exact"/>
        <w:ind w:firstLine="480"/>
        <w:textAlignment w:val="auto"/>
        <w:rPr>
          <w:highlight w:val="none"/>
        </w:rPr>
      </w:pPr>
      <w:r>
        <w:rPr>
          <w:rFonts w:hint="eastAsia" w:ascii="仿宋_GB2312" w:hAnsi="仿宋_GB2312" w:eastAsia="仿宋_GB2312" w:cs="仿宋_GB2312"/>
          <w:color w:val="auto"/>
          <w:kern w:val="0"/>
          <w:sz w:val="28"/>
          <w:szCs w:val="28"/>
          <w:highlight w:val="none"/>
        </w:rPr>
        <w:t>研究生院联系方式：0791-88120608</w:t>
      </w: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28BE6"/>
    <w:multiLevelType w:val="singleLevel"/>
    <w:tmpl w:val="3B928BE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142F6"/>
    <w:rsid w:val="20DB360B"/>
    <w:rsid w:val="3457329B"/>
    <w:rsid w:val="349E6940"/>
    <w:rsid w:val="46EC22D0"/>
    <w:rsid w:val="4CDE4219"/>
    <w:rsid w:val="527A3F9E"/>
    <w:rsid w:val="5C427AC6"/>
    <w:rsid w:val="72024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2792</Words>
  <Characters>2960</Characters>
  <Lines>0</Lines>
  <Paragraphs>0</Paragraphs>
  <TotalTime>2</TotalTime>
  <ScaleCrop>false</ScaleCrop>
  <LinksUpToDate>false</LinksUpToDate>
  <CharactersWithSpaces>2969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2025-03-31T07:11:00Z</dcterms:created>
  <dc:creator>Administrator</dc:creator>
  <cp:lastModifiedBy>乐兵</cp:lastModifiedBy>
  <dcterms:modified xsi:type="dcterms:W3CDTF">2026-04-11T12:36:47Z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eyJoZGlkIjoiMDk0YjIzMDI4NjFmMGVmMzI3ODEyNzExMzJhYTYyNWUiLCJ1c2VySWQiOiI4NTQ5OTM2MjAifQ==</vt:lpwstr>
  </property>
  <property fmtid="{D5CDD505-2E9C-101B-9397-08002B2CF9AE}" pid="4" name="ICV">
    <vt:lpwstr>A709563C4DE44B95A2D65EB942C43F46_13</vt:lpwstr>
  </property>
</Properties>
</file>